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A65" w:rsidRPr="00A71D0C" w:rsidRDefault="009C2A65" w:rsidP="009C2A65">
      <w:pPr>
        <w:spacing w:after="80"/>
        <w:jc w:val="center"/>
        <w:rPr>
          <w:b/>
        </w:rPr>
      </w:pPr>
      <w:r w:rsidRPr="00A71D0C">
        <w:rPr>
          <w:b/>
          <w:caps/>
        </w:rPr>
        <w:t>Piegādes</w:t>
      </w:r>
      <w:r w:rsidRPr="00A71D0C">
        <w:rPr>
          <w:b/>
        </w:rPr>
        <w:t xml:space="preserve"> LĪGUMS</w:t>
      </w:r>
    </w:p>
    <w:p w:rsidR="009C2A65" w:rsidRPr="00A71D0C" w:rsidRDefault="009C2A65" w:rsidP="009C2A65">
      <w:pPr>
        <w:spacing w:after="80"/>
        <w:jc w:val="center"/>
      </w:pPr>
    </w:p>
    <w:tbl>
      <w:tblPr>
        <w:tblW w:w="0" w:type="auto"/>
        <w:tblLook w:val="01E0" w:firstRow="1" w:lastRow="1" w:firstColumn="1" w:lastColumn="1" w:noHBand="0" w:noVBand="0"/>
      </w:tblPr>
      <w:tblGrid>
        <w:gridCol w:w="4595"/>
        <w:gridCol w:w="4302"/>
      </w:tblGrid>
      <w:tr w:rsidR="009C2A65" w:rsidRPr="00A71D0C" w:rsidTr="007537C9">
        <w:tc>
          <w:tcPr>
            <w:tcW w:w="4595" w:type="dxa"/>
          </w:tcPr>
          <w:p w:rsidR="009C2A65" w:rsidRPr="00A71D0C" w:rsidRDefault="00BA3997" w:rsidP="00BA3997">
            <w:pPr>
              <w:spacing w:after="80"/>
              <w:ind w:right="95"/>
            </w:pPr>
            <w:r w:rsidRPr="00A71D0C">
              <w:t>Daugavpilī, 2015.gada 18.decembrī</w:t>
            </w:r>
          </w:p>
        </w:tc>
        <w:tc>
          <w:tcPr>
            <w:tcW w:w="4302" w:type="dxa"/>
          </w:tcPr>
          <w:p w:rsidR="009C2A65" w:rsidRPr="00A71D0C" w:rsidRDefault="009C2A65" w:rsidP="007537C9">
            <w:pPr>
              <w:spacing w:after="80"/>
              <w:ind w:left="567" w:right="95"/>
              <w:jc w:val="right"/>
            </w:pPr>
          </w:p>
        </w:tc>
      </w:tr>
    </w:tbl>
    <w:p w:rsidR="009C2A65" w:rsidRPr="00A71D0C" w:rsidRDefault="009C2A65" w:rsidP="009C2A65">
      <w:pPr>
        <w:spacing w:after="80"/>
        <w:ind w:left="567" w:right="95"/>
        <w:jc w:val="center"/>
      </w:pPr>
    </w:p>
    <w:p w:rsidR="009C2A65" w:rsidRPr="00A71D0C" w:rsidRDefault="009C2A65" w:rsidP="009C2A65">
      <w:pPr>
        <w:suppressAutoHyphens w:val="0"/>
        <w:spacing w:after="80"/>
        <w:ind w:right="95"/>
        <w:jc w:val="both"/>
      </w:pPr>
      <w:r w:rsidRPr="00A71D0C">
        <w:rPr>
          <w:b/>
        </w:rPr>
        <w:tab/>
        <w:t>Daugavpils pilsētas pašvaldības iestāde “Latviešu kultūras centrs”</w:t>
      </w:r>
      <w:r w:rsidRPr="00A71D0C">
        <w:t xml:space="preserve">, reģistrācijas Nr.90000077556, Rīgas iela 22A, Daugavpils, (turpmāk – PASŪTĪTĀJS), tās vadītājas </w:t>
      </w:r>
      <w:r w:rsidRPr="00A71D0C">
        <w:rPr>
          <w:b/>
        </w:rPr>
        <w:t>Regīnas Osmanes</w:t>
      </w:r>
      <w:r w:rsidRPr="00A71D0C">
        <w:t xml:space="preserve"> personā, kura rīkojas uz </w:t>
      </w:r>
      <w:r w:rsidRPr="00A71D0C">
        <w:rPr>
          <w:lang w:eastAsia="ru-RU"/>
        </w:rPr>
        <w:t>Nolikuma pamata</w:t>
      </w:r>
      <w:r w:rsidRPr="00A71D0C">
        <w:t xml:space="preserve">, no vienas puses, un </w:t>
      </w:r>
    </w:p>
    <w:p w:rsidR="009C2A65" w:rsidRPr="00A71D0C" w:rsidRDefault="009C2A65" w:rsidP="009C2A65">
      <w:pPr>
        <w:suppressAutoHyphens w:val="0"/>
        <w:spacing w:after="80"/>
        <w:ind w:right="95"/>
        <w:jc w:val="both"/>
      </w:pPr>
      <w:r w:rsidRPr="00A71D0C">
        <w:tab/>
      </w:r>
      <w:r w:rsidR="007712A8" w:rsidRPr="00A71D0C">
        <w:rPr>
          <w:b/>
        </w:rPr>
        <w:t>SIA “</w:t>
      </w:r>
      <w:proofErr w:type="spellStart"/>
      <w:r w:rsidR="007712A8" w:rsidRPr="00A71D0C">
        <w:rPr>
          <w:b/>
        </w:rPr>
        <w:t>LatRos</w:t>
      </w:r>
      <w:proofErr w:type="spellEnd"/>
      <w:r w:rsidR="007712A8" w:rsidRPr="00A71D0C">
        <w:rPr>
          <w:b/>
        </w:rPr>
        <w:t xml:space="preserve"> Būve”</w:t>
      </w:r>
      <w:r w:rsidRPr="00A71D0C">
        <w:t>, reģ.Nr.</w:t>
      </w:r>
      <w:r w:rsidR="007712A8" w:rsidRPr="00A71D0C">
        <w:t>41503039651</w:t>
      </w:r>
      <w:r w:rsidRPr="00A71D0C">
        <w:t>, juridiskā adrese</w:t>
      </w:r>
      <w:r w:rsidR="007712A8" w:rsidRPr="00A71D0C">
        <w:t xml:space="preserve">: </w:t>
      </w:r>
      <w:hyperlink r:id="rId7" w:history="1">
        <w:r w:rsidR="007712A8" w:rsidRPr="00A71D0C">
          <w:rPr>
            <w:rStyle w:val="Hyperlink"/>
            <w:color w:val="auto"/>
            <w:u w:val="none"/>
          </w:rPr>
          <w:t>Valkas iela 6A, Daugavpils</w:t>
        </w:r>
      </w:hyperlink>
      <w:r w:rsidRPr="00A71D0C">
        <w:t xml:space="preserve">, (turpmāk – PIEGĀDĀTĀJS), </w:t>
      </w:r>
      <w:r w:rsidR="00472AAF" w:rsidRPr="00A71D0C">
        <w:t xml:space="preserve">valdes locekļa </w:t>
      </w:r>
      <w:proofErr w:type="spellStart"/>
      <w:r w:rsidR="00472AAF" w:rsidRPr="00A71D0C">
        <w:rPr>
          <w:b/>
        </w:rPr>
        <w:t>Sergey</w:t>
      </w:r>
      <w:proofErr w:type="spellEnd"/>
      <w:r w:rsidR="00472AAF" w:rsidRPr="00A71D0C">
        <w:rPr>
          <w:b/>
        </w:rPr>
        <w:t xml:space="preserve"> </w:t>
      </w:r>
      <w:proofErr w:type="spellStart"/>
      <w:r w:rsidR="00472AAF" w:rsidRPr="00A71D0C">
        <w:rPr>
          <w:b/>
        </w:rPr>
        <w:t>Chibesov</w:t>
      </w:r>
      <w:proofErr w:type="spellEnd"/>
      <w:r w:rsidRPr="00A71D0C">
        <w:t xml:space="preserve"> personā, kurš rīkojas saskaņā ar </w:t>
      </w:r>
      <w:r w:rsidR="00472AAF" w:rsidRPr="00A71D0C">
        <w:t>Statūtiem</w:t>
      </w:r>
      <w:r w:rsidRPr="00A71D0C">
        <w:t xml:space="preserve">, no otras puses, abi kopā saukti „Puses”, </w:t>
      </w:r>
    </w:p>
    <w:p w:rsidR="009C2A65" w:rsidRPr="00A71D0C" w:rsidRDefault="009C2A65" w:rsidP="009C2A65">
      <w:pPr>
        <w:suppressAutoHyphens w:val="0"/>
        <w:spacing w:after="80"/>
        <w:ind w:right="95"/>
        <w:jc w:val="both"/>
      </w:pPr>
      <w:r w:rsidRPr="00A71D0C">
        <w:tab/>
        <w:t>pamatojoties uz Daugavpils pilsētas dome</w:t>
      </w:r>
      <w:r w:rsidR="00472AAF" w:rsidRPr="00A71D0C">
        <w:t>s iepirkumu komisijas 2015.gada 14.decembra</w:t>
      </w:r>
      <w:r w:rsidRPr="00A71D0C">
        <w:t xml:space="preserve"> lēmumu (prot.Nr.</w:t>
      </w:r>
      <w:r w:rsidR="00A71D0C" w:rsidRPr="00A71D0C">
        <w:t>5</w:t>
      </w:r>
      <w:r w:rsidRPr="00A71D0C">
        <w:t>) iepirkumā „Koka skaidu apkures granulu piegāde Latviešu kultūras centra vajadzībām”, iepirkuma identifikācijas Nr.</w:t>
      </w:r>
      <w:r w:rsidR="00472AAF" w:rsidRPr="00A71D0C">
        <w:t xml:space="preserve"> </w:t>
      </w:r>
      <w:r w:rsidRPr="00A71D0C">
        <w:t>DPD 2015/142, noslēdz šādu līgumu, (turpmāk – Līgums):</w:t>
      </w:r>
    </w:p>
    <w:p w:rsidR="009C2A65" w:rsidRPr="00A71D0C" w:rsidRDefault="009C2A65" w:rsidP="009C2A65">
      <w:pPr>
        <w:suppressAutoHyphens w:val="0"/>
        <w:spacing w:before="240" w:after="240"/>
        <w:jc w:val="center"/>
        <w:rPr>
          <w:lang w:eastAsia="lv-LV"/>
        </w:rPr>
      </w:pPr>
      <w:r w:rsidRPr="00A71D0C">
        <w:rPr>
          <w:b/>
          <w:bCs/>
          <w:lang w:eastAsia="lv-LV"/>
        </w:rPr>
        <w:t>I.</w:t>
      </w:r>
      <w:r w:rsidRPr="00A71D0C">
        <w:rPr>
          <w:lang w:eastAsia="lv-LV"/>
        </w:rPr>
        <w:t xml:space="preserve"> </w:t>
      </w:r>
      <w:r w:rsidRPr="00A71D0C">
        <w:rPr>
          <w:b/>
          <w:bCs/>
          <w:lang w:eastAsia="lv-LV"/>
        </w:rPr>
        <w:t>Līguma priekšmets</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PIEGĀDĀTĀJS apņemas piegādāt un atsavināt </w:t>
      </w:r>
      <w:r w:rsidRPr="00A71D0C">
        <w:rPr>
          <w:b/>
          <w:lang w:eastAsia="lv-LV"/>
        </w:rPr>
        <w:t>kurināmo –</w:t>
      </w:r>
      <w:r w:rsidRPr="00A71D0C">
        <w:rPr>
          <w:lang w:eastAsia="lv-LV"/>
        </w:rPr>
        <w:t xml:space="preserve"> </w:t>
      </w:r>
      <w:r w:rsidRPr="00A71D0C">
        <w:rPr>
          <w:b/>
          <w:lang w:eastAsia="lv-LV"/>
        </w:rPr>
        <w:t>koka skaidu apkures granulas</w:t>
      </w:r>
      <w:r w:rsidRPr="00A71D0C">
        <w:rPr>
          <w:lang w:eastAsia="lv-LV"/>
        </w:rPr>
        <w:t>,</w:t>
      </w:r>
      <w:r w:rsidRPr="00A71D0C">
        <w:rPr>
          <w:b/>
          <w:lang w:eastAsia="lv-LV"/>
        </w:rPr>
        <w:t xml:space="preserve"> </w:t>
      </w:r>
      <w:r w:rsidRPr="00A71D0C">
        <w:rPr>
          <w:lang w:eastAsia="lv-LV"/>
        </w:rPr>
        <w:t>atbilstoši iepirkumā iesniegtajam tehniskajam un finanšu piedāvājumam (turpmāk – PRECE), bet PASŪTĪTĀJS apņemas iegādāties un apmaksāt PRECI saskaņā ar šī Līguma noteikumiem.</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PRECE tiek piegādāta PASŪTĪTĀJAM 2 (divās) atsevišķās partijās saskaņā ar PASŪTĪTĀJA pasūtījumu. PRECE tiek piegādāta </w:t>
      </w:r>
      <w:proofErr w:type="spellStart"/>
      <w:r w:rsidRPr="00A71D0C">
        <w:rPr>
          <w:bCs/>
        </w:rPr>
        <w:t>Forštadtes</w:t>
      </w:r>
      <w:proofErr w:type="spellEnd"/>
      <w:r w:rsidRPr="00A71D0C">
        <w:rPr>
          <w:bCs/>
        </w:rPr>
        <w:t xml:space="preserve"> kultūras namam, Vidzemes ielā 41a, Daugavpilī</w:t>
      </w:r>
      <w:r w:rsidRPr="00A71D0C">
        <w:rPr>
          <w:rFonts w:eastAsia="Lucida Sans Unicode"/>
          <w:kern w:val="2"/>
        </w:rPr>
        <w:t>.</w:t>
      </w:r>
    </w:p>
    <w:p w:rsidR="009C2A65" w:rsidRPr="00A71D0C" w:rsidRDefault="009C2A65" w:rsidP="009C2A65">
      <w:pPr>
        <w:suppressAutoHyphens w:val="0"/>
        <w:overflowPunct w:val="0"/>
        <w:autoSpaceDE w:val="0"/>
        <w:autoSpaceDN w:val="0"/>
        <w:adjustRightInd w:val="0"/>
        <w:spacing w:before="240" w:after="240"/>
        <w:jc w:val="center"/>
        <w:textAlignment w:val="baseline"/>
        <w:rPr>
          <w:b/>
          <w:lang w:eastAsia="lv-LV"/>
        </w:rPr>
      </w:pPr>
      <w:r w:rsidRPr="00A71D0C">
        <w:rPr>
          <w:b/>
          <w:lang w:eastAsia="lv-LV"/>
        </w:rPr>
        <w:t>II. Pasūtījuma noformēšana un piegādes noteikumi</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PASŪTĪTĀJS pasūta PREČU partiju rakstiskā veidā vai mutiski, apstiprinot pasūtījumu rakstiski uz PIEGĀDĀTĀJA elektroniskā pasta adresi. </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PIEGĀDĀTĀJS piegādā pasūtīto preču partiju ne vēlāk kā </w:t>
      </w:r>
      <w:r w:rsidRPr="00A71D0C">
        <w:rPr>
          <w:b/>
          <w:lang w:eastAsia="lv-LV"/>
        </w:rPr>
        <w:t>15 (piecpadsmit)</w:t>
      </w:r>
      <w:r w:rsidRPr="00A71D0C">
        <w:rPr>
          <w:lang w:eastAsia="lv-LV"/>
        </w:rPr>
        <w:t xml:space="preserve"> dienu laikā no pasūtījuma saņemšanas dienas.</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PRECES nodošana PASŪTĪTĀJAM notiek saskaņā ar PREČU pavadzīmi-rēķinu, kuru paraksta līgumslēdzēju PUŠU pilnvarotie pārstāvji un, kas ir neatņemama darījuma sastāvdaļa. </w:t>
      </w:r>
    </w:p>
    <w:p w:rsidR="009C2A65" w:rsidRPr="00A71D0C" w:rsidRDefault="009C2A65" w:rsidP="009C2A65">
      <w:pPr>
        <w:suppressAutoHyphens w:val="0"/>
        <w:overflowPunct w:val="0"/>
        <w:autoSpaceDE w:val="0"/>
        <w:autoSpaceDN w:val="0"/>
        <w:adjustRightInd w:val="0"/>
        <w:spacing w:before="120" w:after="240"/>
        <w:jc w:val="center"/>
        <w:textAlignment w:val="baseline"/>
        <w:rPr>
          <w:b/>
          <w:lang w:eastAsia="lv-LV"/>
        </w:rPr>
      </w:pPr>
      <w:r w:rsidRPr="00A71D0C">
        <w:rPr>
          <w:b/>
          <w:lang w:eastAsia="lv-LV"/>
        </w:rPr>
        <w:t>III. Cena un norēķinu kārtība</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Kopējā līguma summa ir </w:t>
      </w:r>
      <w:r w:rsidRPr="00A71D0C">
        <w:rPr>
          <w:b/>
          <w:lang w:eastAsia="lv-LV"/>
        </w:rPr>
        <w:t>EUR</w:t>
      </w:r>
      <w:r w:rsidRPr="00A71D0C">
        <w:rPr>
          <w:b/>
          <w:bCs/>
          <w:lang w:eastAsia="lv-LV"/>
        </w:rPr>
        <w:t xml:space="preserve"> </w:t>
      </w:r>
      <w:r w:rsidR="0065176E" w:rsidRPr="00A71D0C">
        <w:rPr>
          <w:b/>
          <w:bCs/>
          <w:lang w:eastAsia="lv-LV"/>
        </w:rPr>
        <w:t>5999,78</w:t>
      </w:r>
      <w:r w:rsidRPr="00A71D0C">
        <w:rPr>
          <w:lang w:eastAsia="lv-LV"/>
        </w:rPr>
        <w:t xml:space="preserve"> </w:t>
      </w:r>
      <w:r w:rsidRPr="00A71D0C">
        <w:rPr>
          <w:b/>
          <w:lang w:eastAsia="lv-LV"/>
        </w:rPr>
        <w:t>(</w:t>
      </w:r>
      <w:r w:rsidR="0065176E" w:rsidRPr="00A71D0C">
        <w:rPr>
          <w:b/>
          <w:lang w:eastAsia="lv-LV"/>
        </w:rPr>
        <w:t xml:space="preserve">pieci tūkstoši deviņi simti deviņdesmit deviņi </w:t>
      </w:r>
      <w:r w:rsidR="0065176E" w:rsidRPr="00A71D0C">
        <w:rPr>
          <w:b/>
          <w:i/>
          <w:lang w:eastAsia="lv-LV"/>
        </w:rPr>
        <w:t>euro</w:t>
      </w:r>
      <w:r w:rsidR="0065176E" w:rsidRPr="00A71D0C">
        <w:rPr>
          <w:b/>
          <w:lang w:eastAsia="lv-LV"/>
        </w:rPr>
        <w:t xml:space="preserve"> un 78 centi</w:t>
      </w:r>
      <w:r w:rsidRPr="00A71D0C">
        <w:rPr>
          <w:b/>
          <w:lang w:eastAsia="lv-LV"/>
        </w:rPr>
        <w:t>)</w:t>
      </w:r>
      <w:r w:rsidRPr="00A71D0C">
        <w:rPr>
          <w:lang w:eastAsia="lv-LV"/>
        </w:rPr>
        <w:t xml:space="preserve"> bez PVN, PVN sastāda EUR </w:t>
      </w:r>
      <w:r w:rsidR="0065176E" w:rsidRPr="00A71D0C">
        <w:rPr>
          <w:lang w:eastAsia="lv-LV"/>
        </w:rPr>
        <w:t>1259,95</w:t>
      </w:r>
      <w:r w:rsidRPr="00A71D0C">
        <w:rPr>
          <w:lang w:eastAsia="lv-LV"/>
        </w:rPr>
        <w:t xml:space="preserve"> (</w:t>
      </w:r>
      <w:r w:rsidR="0065176E" w:rsidRPr="00A71D0C">
        <w:rPr>
          <w:lang w:eastAsia="lv-LV"/>
        </w:rPr>
        <w:t xml:space="preserve">viens tūkstotis divi simti piecdesmit deviņi </w:t>
      </w:r>
      <w:r w:rsidR="0065176E" w:rsidRPr="00A71D0C">
        <w:rPr>
          <w:i/>
          <w:lang w:eastAsia="lv-LV"/>
        </w:rPr>
        <w:t>euro</w:t>
      </w:r>
      <w:r w:rsidR="0065176E" w:rsidRPr="00A71D0C">
        <w:rPr>
          <w:lang w:eastAsia="lv-LV"/>
        </w:rPr>
        <w:t xml:space="preserve"> un 95 centi</w:t>
      </w:r>
      <w:r w:rsidRPr="00A71D0C">
        <w:rPr>
          <w:lang w:eastAsia="lv-LV"/>
        </w:rPr>
        <w:t xml:space="preserve">), kopā ar PVN EUR </w:t>
      </w:r>
      <w:r w:rsidR="0065176E" w:rsidRPr="00A71D0C">
        <w:rPr>
          <w:lang w:eastAsia="lv-LV"/>
        </w:rPr>
        <w:t>7259,73</w:t>
      </w:r>
      <w:r w:rsidRPr="00A71D0C">
        <w:rPr>
          <w:lang w:eastAsia="lv-LV"/>
        </w:rPr>
        <w:t xml:space="preserve"> (</w:t>
      </w:r>
      <w:r w:rsidR="0065176E" w:rsidRPr="00A71D0C">
        <w:rPr>
          <w:lang w:eastAsia="lv-LV"/>
        </w:rPr>
        <w:t>septiņi tūkstoši divi simti</w:t>
      </w:r>
      <w:r w:rsidR="00353B14" w:rsidRPr="00A71D0C">
        <w:rPr>
          <w:lang w:eastAsia="lv-LV"/>
        </w:rPr>
        <w:t xml:space="preserve"> piecdesmit deviņi </w:t>
      </w:r>
      <w:r w:rsidR="00353B14" w:rsidRPr="00A71D0C">
        <w:rPr>
          <w:i/>
          <w:lang w:eastAsia="lv-LV"/>
        </w:rPr>
        <w:t>euro</w:t>
      </w:r>
      <w:r w:rsidR="00353B14" w:rsidRPr="00A71D0C">
        <w:rPr>
          <w:lang w:eastAsia="lv-LV"/>
        </w:rPr>
        <w:t xml:space="preserve"> un 73 c</w:t>
      </w:r>
      <w:r w:rsidR="0065176E" w:rsidRPr="00A71D0C">
        <w:rPr>
          <w:lang w:eastAsia="lv-LV"/>
        </w:rPr>
        <w:t>enti</w:t>
      </w:r>
      <w:r w:rsidRPr="00A71D0C">
        <w:rPr>
          <w:lang w:eastAsia="lv-LV"/>
        </w:rPr>
        <w:t>). Vienību izcenojumi noteikti pretendenta konkursam iesniegtajā Finanšu piedāvājumā (pielikumā) un paliek nemainīgi visā līguma darbības laikā.</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lastRenderedPageBreak/>
        <w:t xml:space="preserve">PASŪTĪTĀJS veic apmaksu par katru saņemto PREČU partiju </w:t>
      </w:r>
      <w:r w:rsidRPr="00A71D0C">
        <w:rPr>
          <w:b/>
          <w:lang w:eastAsia="lv-LV"/>
        </w:rPr>
        <w:t>20 (divdesmit) dienu</w:t>
      </w:r>
      <w:r w:rsidRPr="00A71D0C">
        <w:rPr>
          <w:lang w:eastAsia="lv-LV"/>
        </w:rPr>
        <w:t xml:space="preserve"> laikā no PREČU partijas saņemšanas un pavadzīmes – rēķina parakstīšanas dienas. </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PASŪTĪTĀJAM nodotā PRECE līdz pilnīgai tās apmaksai ir PIEGĀDĀTĀJA īpašums.</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PRECE ir PASŪTĪTĀJA īpašums no brīža, kad PASŪTĪTĀJS ir veicis par to apmaksu pilnā apmērā. </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Ja PASŪTĪTĀJS nav šī līguma vai tā pielikumos noteiktajos termiņos veicis maksājumus par PRECI, PIEGĀDĀTĀJS ir tiesīgs noteikt citu apmaksas kārtību, vai vienpusējā kārtā atkāpties no līguma izpildes un pieprasīt zaudējumu atlīdzināšanu. </w:t>
      </w:r>
    </w:p>
    <w:p w:rsidR="009C2A65" w:rsidRPr="00A71D0C" w:rsidRDefault="009C2A65" w:rsidP="009C2A65">
      <w:pPr>
        <w:suppressAutoHyphens w:val="0"/>
        <w:overflowPunct w:val="0"/>
        <w:autoSpaceDE w:val="0"/>
        <w:autoSpaceDN w:val="0"/>
        <w:adjustRightInd w:val="0"/>
        <w:spacing w:before="240" w:after="240"/>
        <w:jc w:val="center"/>
        <w:textAlignment w:val="baseline"/>
        <w:rPr>
          <w:b/>
          <w:lang w:eastAsia="lv-LV"/>
        </w:rPr>
      </w:pPr>
      <w:r w:rsidRPr="00A71D0C">
        <w:rPr>
          <w:b/>
          <w:lang w:eastAsia="lv-LV"/>
        </w:rPr>
        <w:t>IV. Līgumslēdzēju PUŠU atbildība</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PUSES ir materiāli atbildīgas gadījumā, ja netiek pildīti vai tiek nepienācīgi pildīti šī līguma nosacījumi, kā rezultātā vienai no PUSĒM otras PUSES vainas dēļ ir radušies zaudējumi.</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en-US"/>
        </w:rPr>
        <w:t xml:space="preserve">Par </w:t>
      </w:r>
      <w:smartTag w:uri="schemas-tilde-lv/tildestengine" w:element="veidnes">
        <w:smartTagPr>
          <w:attr w:name="text" w:val="līguma"/>
          <w:attr w:name="id" w:val="-1"/>
          <w:attr w:name="baseform" w:val="līgum|s"/>
        </w:smartTagPr>
        <w:r w:rsidRPr="00A71D0C">
          <w:rPr>
            <w:lang w:eastAsia="en-US"/>
          </w:rPr>
          <w:t>Līguma</w:t>
        </w:r>
      </w:smartTag>
      <w:r w:rsidRPr="00A71D0C">
        <w:rPr>
          <w:lang w:eastAsia="en-US"/>
        </w:rPr>
        <w:t xml:space="preserve"> saistību nepildīšanu vai nepienācīgu pildīšanu PUSES ir atbildīgas saskaņā ar Līgumu, Civillikumu un citiem Latvijas Republikā spēkā esošajiem normatīvajiem aktiem.</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ru-RU"/>
        </w:rPr>
        <w:t xml:space="preserve">Ja PRECES piegāde PIEGĀDĀTĀJA vainas dēļ aizkavējas, PASŪTĪTĀJS ir tiesīgs pieprasīt līgumsodu 0,1 (nulle komats viens procents bez PVN) apmērā no PIEGĀDĀTĀJA atlīdzības par nepiegādāto PRECES daudzumu par katru nokavēto dienu, bet ne vairāk par 10 (desmit) procentiem no līguma summas. </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ru-RU"/>
        </w:rPr>
        <w:t xml:space="preserve">Par termiņā neveiktajiem maksājumiem PASŪTĪTĀJS maksā PIEGĀDĀTĀJAM līgumsodu 0,1 (nulle komats viens procents bez PVN) apmērā no laikā neveikto maksājumu summas par katru nokavēto dienu, bet ne vairāk par 10 (desmit) procentiem no līguma summas. </w:t>
      </w:r>
    </w:p>
    <w:p w:rsidR="009C2A65" w:rsidRPr="00A71D0C" w:rsidRDefault="009C2A65" w:rsidP="009C2A65">
      <w:pPr>
        <w:suppressAutoHyphens w:val="0"/>
        <w:overflowPunct w:val="0"/>
        <w:autoSpaceDE w:val="0"/>
        <w:autoSpaceDN w:val="0"/>
        <w:adjustRightInd w:val="0"/>
        <w:spacing w:before="120" w:after="240"/>
        <w:jc w:val="center"/>
        <w:textAlignment w:val="baseline"/>
        <w:rPr>
          <w:lang w:eastAsia="lv-LV"/>
        </w:rPr>
      </w:pPr>
      <w:r w:rsidRPr="00A71D0C">
        <w:rPr>
          <w:b/>
          <w:lang w:eastAsia="lv-LV"/>
        </w:rPr>
        <w:t>V. Nepārvarama vara</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9C2A65" w:rsidRPr="00A71D0C" w:rsidRDefault="009C2A65" w:rsidP="009C2A65">
      <w:pPr>
        <w:suppressAutoHyphens w:val="0"/>
        <w:overflowPunct w:val="0"/>
        <w:autoSpaceDE w:val="0"/>
        <w:autoSpaceDN w:val="0"/>
        <w:adjustRightInd w:val="0"/>
        <w:spacing w:before="240" w:after="240"/>
        <w:jc w:val="center"/>
        <w:textAlignment w:val="baseline"/>
        <w:rPr>
          <w:b/>
          <w:lang w:eastAsia="lv-LV"/>
        </w:rPr>
      </w:pPr>
      <w:r w:rsidRPr="00A71D0C">
        <w:rPr>
          <w:b/>
          <w:lang w:eastAsia="lv-LV"/>
        </w:rPr>
        <w:t>VI. PRECES pieņemšana – nodošana</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en-US"/>
        </w:rPr>
        <w:t xml:space="preserve">PREČU partija uzskatāma par saņemtu, kad PASŪTĪTĀJA rakstiski pilnvarotā persona parakstījusi </w:t>
      </w:r>
      <w:r w:rsidRPr="00A71D0C">
        <w:rPr>
          <w:lang w:eastAsia="lv-LV"/>
        </w:rPr>
        <w:t>PREČU pavadzīmi-rēķinu</w:t>
      </w:r>
      <w:r w:rsidRPr="00A71D0C">
        <w:rPr>
          <w:lang w:eastAsia="en-US"/>
        </w:rPr>
        <w:t xml:space="preserve"> un saņēmusi PRECI. </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en-US"/>
        </w:rPr>
        <w:t xml:space="preserve">PRECES atbilstību </w:t>
      </w:r>
      <w:r w:rsidRPr="00A71D0C">
        <w:rPr>
          <w:lang w:eastAsia="lv-LV"/>
        </w:rPr>
        <w:t>PREČU pavadzīmes-rēķinā</w:t>
      </w:r>
      <w:r w:rsidRPr="00A71D0C">
        <w:rPr>
          <w:lang w:eastAsia="en-US"/>
        </w:rPr>
        <w:t xml:space="preserve"> </w:t>
      </w:r>
      <w:r w:rsidRPr="00A71D0C">
        <w:rPr>
          <w:bCs/>
          <w:lang w:eastAsia="en-US"/>
        </w:rPr>
        <w:t>norādītajam,</w:t>
      </w:r>
      <w:r w:rsidRPr="00A71D0C">
        <w:rPr>
          <w:lang w:eastAsia="en-US"/>
        </w:rPr>
        <w:t xml:space="preserve"> PASŪTĪTĀJA pārstāvis apstiprina ar savu parakstu un paraksta atšifrējumu salasāmā (drukātā) rokrakstā. Parakstot </w:t>
      </w:r>
      <w:r w:rsidRPr="00A71D0C">
        <w:rPr>
          <w:lang w:eastAsia="lv-LV"/>
        </w:rPr>
        <w:t>PREČU pavadzīmi-rēķinu</w:t>
      </w:r>
      <w:r w:rsidRPr="00A71D0C">
        <w:rPr>
          <w:lang w:eastAsia="en-US"/>
        </w:rPr>
        <w:t xml:space="preserve">, PASŪTĪTĀJA pārstāvis apliecina, ka viņam nav </w:t>
      </w:r>
      <w:smartTag w:uri="schemas-tilde-lv/tildestengine" w:element="veidnes">
        <w:smartTagPr>
          <w:attr w:name="text" w:val="pretenziju"/>
          <w:attr w:name="id" w:val="-1"/>
          <w:attr w:name="baseform" w:val="pretenzij|a"/>
        </w:smartTagPr>
        <w:r w:rsidRPr="00A71D0C">
          <w:rPr>
            <w:lang w:eastAsia="en-US"/>
          </w:rPr>
          <w:t>pretenziju</w:t>
        </w:r>
      </w:smartTag>
      <w:r w:rsidRPr="00A71D0C">
        <w:rPr>
          <w:lang w:eastAsia="en-US"/>
        </w:rPr>
        <w:t xml:space="preserve"> par PRECES daudzumu.</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en-US"/>
        </w:rPr>
        <w:t xml:space="preserve">Gadījumā, ja PRECES piegādi veic PIEGĀDĀTĀJS un, ja PRECES nodošanas-pieņemšanas brīdī tiek konstatēta PRECES neatbilstība kvalitātei, vai ir saņemts pavadzīmei neatbilstošs PRECES daudzums, PASŪTĪTĀJAM nekavējoties jāsastāda PRECES saņemšanas </w:t>
      </w:r>
      <w:smartTag w:uri="schemas-tilde-lv/tildestengine" w:element="veidnes">
        <w:smartTagPr>
          <w:attr w:name="text" w:val="akts"/>
          <w:attr w:name="id" w:val="-1"/>
          <w:attr w:name="baseform" w:val="akt|s"/>
        </w:smartTagPr>
        <w:r w:rsidRPr="00A71D0C">
          <w:rPr>
            <w:lang w:eastAsia="en-US"/>
          </w:rPr>
          <w:t>akts</w:t>
        </w:r>
      </w:smartTag>
      <w:r w:rsidRPr="00A71D0C">
        <w:rPr>
          <w:lang w:eastAsia="en-US"/>
        </w:rPr>
        <w:t xml:space="preserve">, kuru paraksta PASŪTĪTĀJA pārstāvis un PIEGĀDĀTĀJA pārstāvis. PASŪTĪTĀJAM 3 (trīs) dienu laikā jāinformē PIEGĀDĀTĀJS par PASŪTĪTĀJA </w:t>
      </w:r>
      <w:smartTag w:uri="schemas-tilde-lv/tildestengine" w:element="veidnes">
        <w:smartTagPr>
          <w:attr w:name="text" w:val="pretenzijām"/>
          <w:attr w:name="id" w:val="-1"/>
          <w:attr w:name="baseform" w:val="pretenzij|a"/>
        </w:smartTagPr>
        <w:r w:rsidRPr="00A71D0C">
          <w:rPr>
            <w:lang w:eastAsia="en-US"/>
          </w:rPr>
          <w:t>pretenzijām</w:t>
        </w:r>
      </w:smartTag>
      <w:r w:rsidRPr="00A71D0C">
        <w:rPr>
          <w:lang w:eastAsia="en-US"/>
        </w:rPr>
        <w:t xml:space="preserve">, iesniedzot vienu </w:t>
      </w:r>
      <w:smartTag w:uri="schemas-tilde-lv/tildestengine" w:element="veidnes">
        <w:smartTagPr>
          <w:attr w:name="text" w:val="akta"/>
          <w:attr w:name="id" w:val="-1"/>
          <w:attr w:name="baseform" w:val="akt|s"/>
        </w:smartTagPr>
        <w:r w:rsidRPr="00A71D0C">
          <w:rPr>
            <w:lang w:eastAsia="en-US"/>
          </w:rPr>
          <w:t>akta</w:t>
        </w:r>
      </w:smartTag>
      <w:r w:rsidRPr="00A71D0C">
        <w:rPr>
          <w:lang w:eastAsia="en-US"/>
        </w:rPr>
        <w:t xml:space="preserve"> kopiju PIEGĀDĀTĀJAM. Pēc </w:t>
      </w:r>
      <w:smartTag w:uri="schemas-tilde-lv/tildestengine" w:element="veidnes">
        <w:smartTagPr>
          <w:attr w:name="text" w:val="akta"/>
          <w:attr w:name="id" w:val="-1"/>
          <w:attr w:name="baseform" w:val="akt|s"/>
        </w:smartTagPr>
        <w:r w:rsidRPr="00A71D0C">
          <w:rPr>
            <w:lang w:eastAsia="en-US"/>
          </w:rPr>
          <w:t>akta</w:t>
        </w:r>
      </w:smartTag>
      <w:r w:rsidRPr="00A71D0C">
        <w:rPr>
          <w:lang w:eastAsia="en-US"/>
        </w:rPr>
        <w:t xml:space="preserve"> saņemšanas, PUSES vienojas par abām PUSĒM pieņemamu risinājumu t.i., apmaina PRECI pret tādu pašu vai līdzvērtīgu PRECI bez defektiem, PRECES pirkuma maksas atmaksu, ja nav iespējama PRECES apmaiņa.</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en-US"/>
        </w:rPr>
        <w:t xml:space="preserve">Gadījumā, ja tiek atklāti PRECES defekti vai neatbilstība līguma nosacījumiem, PASŪTĪTĀJAM nekavējoties ir jāinformē PIEGĀDĀTĀJS par konstatētajiem defektiem un jāpieaicina PIEGĀDĀTĀJA pārstāvis </w:t>
      </w:r>
      <w:smartTag w:uri="schemas-tilde-lv/tildestengine" w:element="veidnes">
        <w:smartTagPr>
          <w:attr w:name="text" w:val="akta"/>
          <w:attr w:name="id" w:val="-1"/>
          <w:attr w:name="baseform" w:val="akt|s"/>
        </w:smartTagPr>
        <w:r w:rsidRPr="00A71D0C">
          <w:rPr>
            <w:lang w:eastAsia="en-US"/>
          </w:rPr>
          <w:t>akta</w:t>
        </w:r>
      </w:smartTag>
      <w:r w:rsidRPr="00A71D0C">
        <w:rPr>
          <w:lang w:eastAsia="en-US"/>
        </w:rPr>
        <w:t xml:space="preserve"> sastādīšanai. Pēc </w:t>
      </w:r>
      <w:smartTag w:uri="schemas-tilde-lv/tildestengine" w:element="veidnes">
        <w:smartTagPr>
          <w:attr w:name="text" w:val="akta"/>
          <w:attr w:name="id" w:val="-1"/>
          <w:attr w:name="baseform" w:val="akt|s"/>
        </w:smartTagPr>
        <w:r w:rsidRPr="00A71D0C">
          <w:rPr>
            <w:lang w:eastAsia="en-US"/>
          </w:rPr>
          <w:t>akta</w:t>
        </w:r>
      </w:smartTag>
      <w:r w:rsidRPr="00A71D0C">
        <w:rPr>
          <w:lang w:eastAsia="en-US"/>
        </w:rPr>
        <w:t xml:space="preserve"> sastādīšanas PUSES vienojas par abām PUSĒM pieņemamu risinājumu (PRECES apmaiņu, PRECES vērtības atmaksu, ja nav iespējama PRECES apmaiņa, termiņiem).</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en-US"/>
        </w:rPr>
        <w:t>PIEGĀDĀTĀJS neatbild par tādiem PRECES trūkumiem, par kuriem PIEGĀDĀTĀJS pasūtījuma izdarīšanas brīdī informēja PASŪTĪTĀJU.</w:t>
      </w:r>
    </w:p>
    <w:p w:rsidR="009C2A65" w:rsidRPr="00A71D0C" w:rsidRDefault="009C2A65" w:rsidP="009C2A65">
      <w:pPr>
        <w:suppressAutoHyphens w:val="0"/>
        <w:overflowPunct w:val="0"/>
        <w:autoSpaceDE w:val="0"/>
        <w:autoSpaceDN w:val="0"/>
        <w:adjustRightInd w:val="0"/>
        <w:spacing w:before="240" w:after="240"/>
        <w:jc w:val="center"/>
        <w:textAlignment w:val="baseline"/>
        <w:rPr>
          <w:b/>
          <w:lang w:eastAsia="lv-LV"/>
        </w:rPr>
      </w:pPr>
      <w:r w:rsidRPr="00A71D0C">
        <w:rPr>
          <w:b/>
          <w:lang w:eastAsia="lv-LV"/>
        </w:rPr>
        <w:t>VII. Papildus noteikumi</w:t>
      </w:r>
    </w:p>
    <w:p w:rsidR="009C2A65" w:rsidRPr="00A71D0C" w:rsidRDefault="009C2A65" w:rsidP="009C2A65">
      <w:pPr>
        <w:numPr>
          <w:ilvl w:val="0"/>
          <w:numId w:val="1"/>
        </w:numPr>
        <w:tabs>
          <w:tab w:val="num" w:pos="0"/>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en-US"/>
        </w:rPr>
        <w:t>PRECES kvalitātei jāatbilst prasībām un nosacījumiem, kas noteikti šajā līgumā un normatīvajos aktos.</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Gadījumā, ja tiek mainīts PUŠU juridiskais statuss (reorganizējoties, apvienojoties vai jebkādā citā veidā), adrese, bankas rekvizīti, šīs izmaiņas ir jāpaziņo otrai līgumslēdzējai PUSEI 5 (piecu) darba dienu laikā. </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Šī līguma papildinājumi un izmaiņas saskaņojami ar abpusēju rakstisku vienošanos un pievienojami līgumam, un ir tā neatņemama sastāvdaļa. Būtiski līguma grozījumi nav pieļaujami.</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PIEGĀDĀTĀJS neatbild par PASŪTĪTĀJA jebkāda veida saistībām pret trešo personu. </w:t>
      </w:r>
    </w:p>
    <w:p w:rsidR="009C2A65" w:rsidRPr="00A71D0C" w:rsidRDefault="009C2A65" w:rsidP="009C2A65">
      <w:pPr>
        <w:suppressAutoHyphens w:val="0"/>
        <w:overflowPunct w:val="0"/>
        <w:autoSpaceDE w:val="0"/>
        <w:autoSpaceDN w:val="0"/>
        <w:adjustRightInd w:val="0"/>
        <w:spacing w:before="240" w:after="240"/>
        <w:jc w:val="center"/>
        <w:textAlignment w:val="baseline"/>
        <w:rPr>
          <w:b/>
          <w:lang w:eastAsia="lv-LV"/>
        </w:rPr>
      </w:pPr>
      <w:r w:rsidRPr="00A71D0C">
        <w:rPr>
          <w:b/>
          <w:lang w:eastAsia="lv-LV"/>
        </w:rPr>
        <w:t>VIII. Līguma spēkā stāšanās, tā grozīšana un strīdu izskatīšanas kārtība</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en-US"/>
        </w:rPr>
        <w:t xml:space="preserve">Šis līgums stājas spēka ar dienu, kad to parakstījušas abas līgumslēdzējas PUSES un tas ir spēkā </w:t>
      </w:r>
      <w:r w:rsidRPr="00A71D0C">
        <w:rPr>
          <w:b/>
          <w:lang w:eastAsia="en-US"/>
        </w:rPr>
        <w:t>12 (divpadsmit) kalendāra mēnešus</w:t>
      </w:r>
      <w:r w:rsidRPr="00A71D0C">
        <w:rPr>
          <w:lang w:eastAsia="en-US"/>
        </w:rPr>
        <w:t>, vai līdz tiek iztērēta līguma summa.</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Visi grozījumi un papildinājumi šajā līgumā ir spēkā tikai tad, ja tie noformēti rakstiski un tos ir parakstījuši līgumslēdzēju PUŠU pārstāvji. </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PUSES var vienpusēji atkāpties no līguma izpildes, brīdinot par to otru PUSI vismaz vienu mēnesi iepriekš.</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Līgumattiecības par pabeigtām atzīstamas pēc tam, kad līgumslēdzējas PUSES izpildījušas savas saistības un starp tām pilnībā nokārtoti rēķini. </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Jebkurš strīds, nesaskaņas vai prasība, kas izriet no šī līguma vai, kas skar to vai tā pārkāpšanu, izbeigšanu vai spēkā neesamību, tiks izšķirts Latvijas tiesā.</w:t>
      </w:r>
    </w:p>
    <w:p w:rsidR="009C2A65" w:rsidRPr="00A71D0C" w:rsidRDefault="009C2A65" w:rsidP="009C2A65">
      <w:pPr>
        <w:numPr>
          <w:ilvl w:val="0"/>
          <w:numId w:val="1"/>
        </w:numPr>
        <w:tabs>
          <w:tab w:val="num" w:pos="792"/>
        </w:tabs>
        <w:suppressAutoHyphens w:val="0"/>
        <w:overflowPunct w:val="0"/>
        <w:autoSpaceDE w:val="0"/>
        <w:autoSpaceDN w:val="0"/>
        <w:adjustRightInd w:val="0"/>
        <w:spacing w:after="120" w:line="259" w:lineRule="auto"/>
        <w:ind w:left="357" w:hanging="357"/>
        <w:jc w:val="both"/>
        <w:textAlignment w:val="baseline"/>
        <w:rPr>
          <w:lang w:eastAsia="lv-LV"/>
        </w:rPr>
      </w:pPr>
      <w:r w:rsidRPr="00A71D0C">
        <w:rPr>
          <w:lang w:eastAsia="lv-LV"/>
        </w:rPr>
        <w:t xml:space="preserve">Šis līgums sastādīts divos autentiskos eksemplāros uz </w:t>
      </w:r>
      <w:r w:rsidR="000B232A" w:rsidRPr="00A71D0C">
        <w:rPr>
          <w:lang w:eastAsia="lv-LV"/>
        </w:rPr>
        <w:t>4</w:t>
      </w:r>
      <w:r w:rsidRPr="00A71D0C">
        <w:rPr>
          <w:lang w:eastAsia="lv-LV"/>
        </w:rPr>
        <w:t xml:space="preserve"> (</w:t>
      </w:r>
      <w:r w:rsidR="000B232A" w:rsidRPr="00A71D0C">
        <w:rPr>
          <w:lang w:eastAsia="lv-LV"/>
        </w:rPr>
        <w:t>četrām</w:t>
      </w:r>
      <w:r w:rsidRPr="00A71D0C">
        <w:rPr>
          <w:lang w:eastAsia="lv-LV"/>
        </w:rPr>
        <w:t>) lapām ar pielikumiem, no kuriem viens glabājas pie PIEGĀDĀTĀJA un viens pie PASŪTĪTĀJA.</w:t>
      </w:r>
    </w:p>
    <w:p w:rsidR="009C2A65" w:rsidRPr="00A71D0C" w:rsidRDefault="009C2A65" w:rsidP="009C2A65">
      <w:pPr>
        <w:tabs>
          <w:tab w:val="num" w:pos="792"/>
        </w:tabs>
        <w:suppressAutoHyphens w:val="0"/>
        <w:overflowPunct w:val="0"/>
        <w:autoSpaceDE w:val="0"/>
        <w:autoSpaceDN w:val="0"/>
        <w:adjustRightInd w:val="0"/>
        <w:jc w:val="both"/>
        <w:textAlignment w:val="baseline"/>
        <w:rPr>
          <w:i/>
          <w:lang w:eastAsia="lv-LV"/>
        </w:rPr>
      </w:pPr>
      <w:r w:rsidRPr="00A71D0C">
        <w:rPr>
          <w:bCs/>
          <w:lang w:val="x-none" w:eastAsia="en-US"/>
        </w:rPr>
        <w:t>PIELIKUMI:</w:t>
      </w:r>
      <w:r w:rsidRPr="00A71D0C">
        <w:rPr>
          <w:bCs/>
          <w:lang w:eastAsia="en-US"/>
        </w:rPr>
        <w:t xml:space="preserve"> </w:t>
      </w:r>
      <w:r w:rsidRPr="00A71D0C">
        <w:rPr>
          <w:bCs/>
          <w:caps/>
          <w:lang w:eastAsia="en-US"/>
        </w:rPr>
        <w:t>Piegādātāja</w:t>
      </w:r>
      <w:r w:rsidRPr="00A71D0C">
        <w:rPr>
          <w:bCs/>
          <w:lang w:eastAsia="en-US"/>
        </w:rPr>
        <w:t xml:space="preserve"> tehniskā un finanšu piedāvājumu kopijas</w:t>
      </w:r>
      <w:r w:rsidR="00C11747" w:rsidRPr="00A71D0C">
        <w:rPr>
          <w:bCs/>
          <w:lang w:eastAsia="en-US"/>
        </w:rPr>
        <w:t xml:space="preserve"> (</w:t>
      </w:r>
      <w:r w:rsidR="00C11747" w:rsidRPr="00A71D0C">
        <w:rPr>
          <w:bCs/>
          <w:i/>
          <w:lang w:eastAsia="en-US"/>
        </w:rPr>
        <w:t>ar labotām aritmētiskām kļūdām</w:t>
      </w:r>
      <w:r w:rsidR="00C11747" w:rsidRPr="00A71D0C">
        <w:rPr>
          <w:bCs/>
          <w:lang w:eastAsia="en-US"/>
        </w:rPr>
        <w:t>)</w:t>
      </w:r>
      <w:r w:rsidRPr="00A71D0C">
        <w:rPr>
          <w:bCs/>
          <w:lang w:eastAsia="en-US"/>
        </w:rPr>
        <w:t xml:space="preserve">. </w:t>
      </w:r>
    </w:p>
    <w:p w:rsidR="009C2A65" w:rsidRPr="00A71D0C" w:rsidRDefault="009C2A65" w:rsidP="009C2A65">
      <w:pPr>
        <w:tabs>
          <w:tab w:val="num" w:pos="792"/>
        </w:tabs>
        <w:suppressAutoHyphens w:val="0"/>
        <w:overflowPunct w:val="0"/>
        <w:autoSpaceDE w:val="0"/>
        <w:autoSpaceDN w:val="0"/>
        <w:adjustRightInd w:val="0"/>
        <w:jc w:val="both"/>
        <w:textAlignment w:val="baseline"/>
        <w:rPr>
          <w:lang w:eastAsia="lv-LV"/>
        </w:rPr>
      </w:pPr>
    </w:p>
    <w:p w:rsidR="009C2A65" w:rsidRPr="00A71D0C" w:rsidRDefault="009C2A65" w:rsidP="009C2A65">
      <w:pPr>
        <w:suppressAutoHyphens w:val="0"/>
        <w:spacing w:after="160" w:line="259" w:lineRule="auto"/>
        <w:jc w:val="center"/>
        <w:rPr>
          <w:b/>
          <w:lang w:eastAsia="x-none"/>
        </w:rPr>
      </w:pPr>
      <w:r w:rsidRPr="00A71D0C">
        <w:rPr>
          <w:b/>
          <w:lang w:eastAsia="x-none"/>
        </w:rPr>
        <w:t>IX. Pušu rekvizīti un paraksti</w:t>
      </w:r>
    </w:p>
    <w:tbl>
      <w:tblPr>
        <w:tblW w:w="9673" w:type="dxa"/>
        <w:tblInd w:w="108" w:type="dxa"/>
        <w:tblLayout w:type="fixed"/>
        <w:tblLook w:val="0000" w:firstRow="0" w:lastRow="0" w:firstColumn="0" w:lastColumn="0" w:noHBand="0" w:noVBand="0"/>
      </w:tblPr>
      <w:tblGrid>
        <w:gridCol w:w="4712"/>
        <w:gridCol w:w="4961"/>
      </w:tblGrid>
      <w:tr w:rsidR="009C2A65" w:rsidRPr="00A71D0C" w:rsidTr="007537C9">
        <w:trPr>
          <w:trHeight w:val="3414"/>
        </w:trPr>
        <w:tc>
          <w:tcPr>
            <w:tcW w:w="4712" w:type="dxa"/>
            <w:tcBorders>
              <w:top w:val="nil"/>
              <w:left w:val="nil"/>
              <w:bottom w:val="nil"/>
              <w:right w:val="nil"/>
            </w:tcBorders>
          </w:tcPr>
          <w:p w:rsidR="009C2A65" w:rsidRPr="00A71D0C" w:rsidRDefault="009C2A65" w:rsidP="007537C9">
            <w:pPr>
              <w:widowControl w:val="0"/>
              <w:spacing w:after="120"/>
              <w:rPr>
                <w:b/>
                <w:bCs/>
                <w:color w:val="000000"/>
              </w:rPr>
            </w:pPr>
            <w:r w:rsidRPr="00A71D0C">
              <w:rPr>
                <w:b/>
                <w:bCs/>
                <w:caps/>
                <w:color w:val="000000"/>
              </w:rPr>
              <w:t>Pasūtītājs</w:t>
            </w:r>
            <w:r w:rsidRPr="00A71D0C">
              <w:rPr>
                <w:b/>
                <w:bCs/>
                <w:color w:val="000000"/>
              </w:rPr>
              <w:t xml:space="preserve">: </w:t>
            </w:r>
          </w:p>
          <w:p w:rsidR="009C2A65" w:rsidRPr="00A71D0C" w:rsidRDefault="009C2A65" w:rsidP="007537C9">
            <w:pPr>
              <w:widowControl w:val="0"/>
              <w:spacing w:line="20" w:lineRule="atLeast"/>
              <w:rPr>
                <w:b/>
                <w:bCs/>
                <w:spacing w:val="-7"/>
              </w:rPr>
            </w:pPr>
            <w:r w:rsidRPr="00A71D0C">
              <w:rPr>
                <w:b/>
                <w:bCs/>
                <w:spacing w:val="-7"/>
              </w:rPr>
              <w:t xml:space="preserve">Daugavpils pilsētas pašvaldības iestāde </w:t>
            </w:r>
          </w:p>
          <w:p w:rsidR="009C2A65" w:rsidRPr="00A71D0C" w:rsidRDefault="009C2A65" w:rsidP="007537C9">
            <w:pPr>
              <w:widowControl w:val="0"/>
              <w:spacing w:line="20" w:lineRule="atLeast"/>
              <w:rPr>
                <w:b/>
                <w:bCs/>
                <w:spacing w:val="-7"/>
              </w:rPr>
            </w:pPr>
            <w:r w:rsidRPr="00A71D0C">
              <w:rPr>
                <w:b/>
                <w:bCs/>
                <w:spacing w:val="-7"/>
              </w:rPr>
              <w:t>“Latviešu kultūras centrs”</w:t>
            </w:r>
          </w:p>
          <w:p w:rsidR="009C2A65" w:rsidRPr="00A71D0C" w:rsidRDefault="009C2A65" w:rsidP="007537C9">
            <w:pPr>
              <w:widowControl w:val="0"/>
              <w:spacing w:line="20" w:lineRule="atLeast"/>
            </w:pPr>
            <w:proofErr w:type="spellStart"/>
            <w:r w:rsidRPr="00A71D0C">
              <w:t>reģ</w:t>
            </w:r>
            <w:proofErr w:type="spellEnd"/>
            <w:r w:rsidRPr="00A71D0C">
              <w:t xml:space="preserve">. Nr. 90000077556, </w:t>
            </w:r>
          </w:p>
          <w:p w:rsidR="009C2A65" w:rsidRPr="00A71D0C" w:rsidRDefault="009C2A65" w:rsidP="007537C9">
            <w:pPr>
              <w:widowControl w:val="0"/>
              <w:spacing w:line="20" w:lineRule="atLeast"/>
            </w:pPr>
            <w:r w:rsidRPr="00A71D0C">
              <w:t>Rīgas iela 22a, Daugavpils, LV-5401</w:t>
            </w:r>
          </w:p>
          <w:p w:rsidR="009C2A65" w:rsidRPr="00A71D0C" w:rsidRDefault="009C2A65" w:rsidP="007537C9">
            <w:pPr>
              <w:widowControl w:val="0"/>
              <w:spacing w:line="20" w:lineRule="atLeast"/>
              <w:rPr>
                <w:rFonts w:eastAsia="Lucida Sans Unicode"/>
              </w:rPr>
            </w:pPr>
            <w:r w:rsidRPr="00A71D0C">
              <w:rPr>
                <w:rFonts w:eastAsia="Lucida Sans Unicode"/>
              </w:rPr>
              <w:t>AS “Swedbank”,</w:t>
            </w:r>
          </w:p>
          <w:p w:rsidR="009C2A65" w:rsidRPr="00A71D0C" w:rsidRDefault="009C2A65" w:rsidP="007537C9">
            <w:pPr>
              <w:widowControl w:val="0"/>
              <w:spacing w:line="20" w:lineRule="atLeast"/>
              <w:rPr>
                <w:rFonts w:eastAsia="Lucida Sans Unicode"/>
              </w:rPr>
            </w:pPr>
            <w:r w:rsidRPr="00A71D0C">
              <w:rPr>
                <w:rFonts w:eastAsia="Lucida Sans Unicode"/>
              </w:rPr>
              <w:t>kods HABALV22,</w:t>
            </w:r>
          </w:p>
          <w:p w:rsidR="009C2A65" w:rsidRPr="00A71D0C" w:rsidRDefault="009C2A65" w:rsidP="007537C9">
            <w:pPr>
              <w:widowControl w:val="0"/>
              <w:spacing w:line="20" w:lineRule="atLeast"/>
              <w:rPr>
                <w:rFonts w:eastAsia="Lucida Sans Unicode"/>
              </w:rPr>
            </w:pPr>
            <w:r w:rsidRPr="00A71D0C">
              <w:rPr>
                <w:rFonts w:eastAsia="Lucida Sans Unicode"/>
              </w:rPr>
              <w:t>konts LV69HABA0001402041250</w:t>
            </w:r>
          </w:p>
          <w:p w:rsidR="009C2A65" w:rsidRPr="00A71D0C" w:rsidRDefault="009C2A65" w:rsidP="007537C9">
            <w:pPr>
              <w:widowControl w:val="0"/>
              <w:spacing w:line="20" w:lineRule="atLeast"/>
              <w:rPr>
                <w:rFonts w:eastAsia="Lucida Sans Unicode"/>
              </w:rPr>
            </w:pPr>
          </w:p>
          <w:p w:rsidR="009C2A65" w:rsidRPr="00A71D0C" w:rsidRDefault="009C2A65" w:rsidP="007537C9">
            <w:pPr>
              <w:widowControl w:val="0"/>
              <w:spacing w:line="20" w:lineRule="atLeast"/>
              <w:rPr>
                <w:bCs/>
                <w:spacing w:val="-7"/>
              </w:rPr>
            </w:pPr>
            <w:r w:rsidRPr="00A71D0C">
              <w:rPr>
                <w:bCs/>
                <w:spacing w:val="-7"/>
              </w:rPr>
              <w:t xml:space="preserve">Daugavpils pilsētas pašvaldības iestādes </w:t>
            </w:r>
          </w:p>
          <w:p w:rsidR="009C2A65" w:rsidRPr="00A71D0C" w:rsidRDefault="009C2A65" w:rsidP="007537C9">
            <w:pPr>
              <w:widowControl w:val="0"/>
              <w:spacing w:line="20" w:lineRule="atLeast"/>
              <w:rPr>
                <w:bCs/>
                <w:spacing w:val="-7"/>
              </w:rPr>
            </w:pPr>
            <w:r w:rsidRPr="00A71D0C">
              <w:rPr>
                <w:bCs/>
                <w:spacing w:val="-7"/>
              </w:rPr>
              <w:t xml:space="preserve">“Latviešu kultūras centrs” vadītāja </w:t>
            </w:r>
          </w:p>
          <w:p w:rsidR="009C2A65" w:rsidRPr="00A71D0C" w:rsidRDefault="009C2A65" w:rsidP="007537C9">
            <w:pPr>
              <w:widowControl w:val="0"/>
              <w:spacing w:line="20" w:lineRule="atLeast"/>
              <w:rPr>
                <w:rFonts w:eastAsia="Lucida Sans Unicode"/>
                <w:color w:val="000000"/>
              </w:rPr>
            </w:pPr>
            <w:r w:rsidRPr="00A71D0C">
              <w:rPr>
                <w:rFonts w:eastAsia="Lucida Sans Unicode"/>
                <w:color w:val="000000"/>
              </w:rPr>
              <w:t xml:space="preserve">           </w:t>
            </w:r>
          </w:p>
          <w:p w:rsidR="009C2A65" w:rsidRPr="00A71D0C" w:rsidRDefault="000B232A" w:rsidP="007537C9">
            <w:pPr>
              <w:widowControl w:val="0"/>
              <w:spacing w:line="20" w:lineRule="atLeast"/>
              <w:rPr>
                <w:b/>
                <w:bCs/>
                <w:color w:val="000000"/>
              </w:rPr>
            </w:pPr>
            <w:r w:rsidRPr="00A71D0C">
              <w:rPr>
                <w:rFonts w:eastAsia="Lucida Sans Unicode"/>
                <w:i/>
                <w:color w:val="000000"/>
              </w:rPr>
              <w:t>___________________</w:t>
            </w:r>
            <w:r w:rsidR="009C2A65" w:rsidRPr="00A71D0C">
              <w:rPr>
                <w:rFonts w:eastAsia="Lucida Sans Unicode"/>
                <w:b/>
                <w:color w:val="000000"/>
              </w:rPr>
              <w:t xml:space="preserve"> </w:t>
            </w:r>
            <w:proofErr w:type="spellStart"/>
            <w:r w:rsidR="009C2A65" w:rsidRPr="00A71D0C">
              <w:rPr>
                <w:b/>
              </w:rPr>
              <w:t>R.Osmane</w:t>
            </w:r>
            <w:proofErr w:type="spellEnd"/>
          </w:p>
        </w:tc>
        <w:tc>
          <w:tcPr>
            <w:tcW w:w="4961" w:type="dxa"/>
            <w:tcBorders>
              <w:top w:val="nil"/>
              <w:left w:val="nil"/>
              <w:bottom w:val="nil"/>
              <w:right w:val="nil"/>
            </w:tcBorders>
          </w:tcPr>
          <w:p w:rsidR="009C2A65" w:rsidRPr="00A71D0C" w:rsidRDefault="009C2A65" w:rsidP="007537C9">
            <w:pPr>
              <w:widowControl w:val="0"/>
              <w:spacing w:after="120"/>
              <w:rPr>
                <w:b/>
                <w:bCs/>
                <w:color w:val="000000"/>
              </w:rPr>
            </w:pPr>
            <w:r w:rsidRPr="00A71D0C">
              <w:rPr>
                <w:b/>
                <w:bCs/>
                <w:caps/>
                <w:color w:val="000000"/>
              </w:rPr>
              <w:t>PIEGĀDĀTĀJS</w:t>
            </w:r>
            <w:r w:rsidRPr="00A71D0C">
              <w:rPr>
                <w:b/>
                <w:bCs/>
                <w:color w:val="000000"/>
              </w:rPr>
              <w:t>:</w:t>
            </w:r>
          </w:p>
          <w:p w:rsidR="009C2A65" w:rsidRPr="00A71D0C" w:rsidRDefault="000B232A" w:rsidP="007537C9">
            <w:pPr>
              <w:spacing w:line="20" w:lineRule="atLeast"/>
              <w:rPr>
                <w:bCs/>
              </w:rPr>
            </w:pPr>
            <w:r w:rsidRPr="00A71D0C">
              <w:rPr>
                <w:b/>
                <w:bCs/>
              </w:rPr>
              <w:t>SIA “</w:t>
            </w:r>
            <w:proofErr w:type="spellStart"/>
            <w:r w:rsidRPr="00A71D0C">
              <w:rPr>
                <w:b/>
                <w:bCs/>
              </w:rPr>
              <w:t>LatRos</w:t>
            </w:r>
            <w:proofErr w:type="spellEnd"/>
            <w:r w:rsidRPr="00A71D0C">
              <w:rPr>
                <w:b/>
                <w:bCs/>
              </w:rPr>
              <w:t xml:space="preserve"> Būve”</w:t>
            </w:r>
          </w:p>
          <w:p w:rsidR="009C2A65" w:rsidRPr="00A71D0C" w:rsidRDefault="000B232A" w:rsidP="007537C9">
            <w:pPr>
              <w:spacing w:line="20" w:lineRule="atLeast"/>
              <w:rPr>
                <w:bCs/>
              </w:rPr>
            </w:pPr>
            <w:r w:rsidRPr="00A71D0C">
              <w:rPr>
                <w:bCs/>
              </w:rPr>
              <w:t>reģ.Nr.90000077556</w:t>
            </w:r>
          </w:p>
          <w:p w:rsidR="009C2A65" w:rsidRPr="00A71D0C" w:rsidRDefault="000B232A" w:rsidP="007537C9">
            <w:pPr>
              <w:spacing w:line="20" w:lineRule="atLeast"/>
              <w:rPr>
                <w:bCs/>
              </w:rPr>
            </w:pPr>
            <w:r w:rsidRPr="00A71D0C">
              <w:rPr>
                <w:bCs/>
              </w:rPr>
              <w:t>Valkas iela 6A, Daugavpils, LV-5417</w:t>
            </w:r>
          </w:p>
          <w:p w:rsidR="00707989" w:rsidRPr="00A71D0C" w:rsidRDefault="00707989" w:rsidP="00707989">
            <w:pPr>
              <w:widowControl w:val="0"/>
              <w:spacing w:line="20" w:lineRule="atLeast"/>
              <w:rPr>
                <w:rFonts w:eastAsia="Lucida Sans Unicode"/>
              </w:rPr>
            </w:pPr>
            <w:r w:rsidRPr="00A71D0C">
              <w:rPr>
                <w:rFonts w:eastAsia="Lucida Sans Unicode"/>
              </w:rPr>
              <w:t>AS “Swedbank”,</w:t>
            </w:r>
          </w:p>
          <w:p w:rsidR="009C2A65" w:rsidRPr="00A71D0C" w:rsidRDefault="00707989" w:rsidP="00707989">
            <w:pPr>
              <w:spacing w:line="20" w:lineRule="atLeast"/>
              <w:rPr>
                <w:bCs/>
              </w:rPr>
            </w:pPr>
            <w:r w:rsidRPr="00A71D0C">
              <w:rPr>
                <w:rFonts w:eastAsia="Lucida Sans Unicode"/>
              </w:rPr>
              <w:t>kods HABALV22,</w:t>
            </w:r>
          </w:p>
          <w:p w:rsidR="00707989" w:rsidRPr="00A71D0C" w:rsidRDefault="00707989" w:rsidP="00707989">
            <w:pPr>
              <w:widowControl w:val="0"/>
              <w:spacing w:line="20" w:lineRule="atLeast"/>
              <w:rPr>
                <w:rFonts w:eastAsia="Lucida Sans Unicode"/>
              </w:rPr>
            </w:pPr>
            <w:r w:rsidRPr="00A71D0C">
              <w:rPr>
                <w:rFonts w:eastAsia="Lucida Sans Unicode"/>
              </w:rPr>
              <w:t>konts LV33</w:t>
            </w:r>
            <w:r w:rsidRPr="00A71D0C">
              <w:rPr>
                <w:rFonts w:eastAsia="Lucida Sans Unicode"/>
              </w:rPr>
              <w:t>HABA</w:t>
            </w:r>
            <w:r w:rsidRPr="00A71D0C">
              <w:rPr>
                <w:rFonts w:eastAsia="Lucida Sans Unicode"/>
              </w:rPr>
              <w:t>0551015852909</w:t>
            </w:r>
          </w:p>
          <w:p w:rsidR="009C2A65" w:rsidRPr="00A71D0C" w:rsidRDefault="009C2A65" w:rsidP="007537C9">
            <w:pPr>
              <w:spacing w:line="20" w:lineRule="atLeast"/>
              <w:rPr>
                <w:bCs/>
              </w:rPr>
            </w:pPr>
          </w:p>
          <w:p w:rsidR="009C2A65" w:rsidRPr="00A71D0C" w:rsidRDefault="009C2A65" w:rsidP="007537C9">
            <w:pPr>
              <w:spacing w:line="20" w:lineRule="atLeast"/>
              <w:rPr>
                <w:bCs/>
              </w:rPr>
            </w:pPr>
          </w:p>
          <w:p w:rsidR="009C2A65" w:rsidRPr="00A71D0C" w:rsidRDefault="00E15D36" w:rsidP="007537C9">
            <w:pPr>
              <w:spacing w:line="20" w:lineRule="atLeast"/>
              <w:rPr>
                <w:bCs/>
              </w:rPr>
            </w:pPr>
            <w:r w:rsidRPr="00A71D0C">
              <w:rPr>
                <w:bCs/>
              </w:rPr>
              <w:t>Valdes loceklis</w:t>
            </w:r>
          </w:p>
          <w:p w:rsidR="009C2A65" w:rsidRPr="00A71D0C" w:rsidRDefault="009C2A65" w:rsidP="007537C9">
            <w:pPr>
              <w:spacing w:line="20" w:lineRule="atLeast"/>
              <w:rPr>
                <w:bCs/>
              </w:rPr>
            </w:pPr>
          </w:p>
          <w:p w:rsidR="000B232A" w:rsidRPr="00A71D0C" w:rsidRDefault="000B232A" w:rsidP="007537C9">
            <w:pPr>
              <w:spacing w:line="20" w:lineRule="atLeast"/>
              <w:rPr>
                <w:rFonts w:eastAsia="Calibri"/>
                <w:color w:val="000000"/>
              </w:rPr>
            </w:pPr>
          </w:p>
          <w:p w:rsidR="009C2A65" w:rsidRPr="00A71D0C" w:rsidRDefault="000B232A" w:rsidP="007537C9">
            <w:pPr>
              <w:widowControl w:val="0"/>
              <w:spacing w:line="20" w:lineRule="atLeast"/>
              <w:rPr>
                <w:b/>
                <w:bCs/>
                <w:color w:val="000000"/>
              </w:rPr>
            </w:pPr>
            <w:r w:rsidRPr="00A71D0C">
              <w:rPr>
                <w:rFonts w:eastAsia="Lucida Sans Unicode"/>
                <w:i/>
                <w:color w:val="000000"/>
              </w:rPr>
              <w:t xml:space="preserve">____________________ </w:t>
            </w:r>
            <w:proofErr w:type="spellStart"/>
            <w:r w:rsidRPr="00A71D0C">
              <w:rPr>
                <w:rFonts w:eastAsia="Lucida Sans Unicode"/>
                <w:b/>
                <w:color w:val="000000"/>
              </w:rPr>
              <w:t>S.Chibesov</w:t>
            </w:r>
            <w:proofErr w:type="spellEnd"/>
            <w:r w:rsidR="009C2A65" w:rsidRPr="00A71D0C">
              <w:rPr>
                <w:rFonts w:eastAsia="Lucida Sans Unicode"/>
                <w:i/>
                <w:color w:val="000000"/>
              </w:rPr>
              <w:t xml:space="preserve"> </w:t>
            </w:r>
          </w:p>
        </w:tc>
      </w:tr>
    </w:tbl>
    <w:p w:rsidR="00392EF3" w:rsidRPr="00A71D0C" w:rsidRDefault="00392EF3">
      <w:bookmarkStart w:id="0" w:name="_GoBack"/>
      <w:bookmarkEnd w:id="0"/>
    </w:p>
    <w:sectPr w:rsidR="00392EF3" w:rsidRPr="00A71D0C" w:rsidSect="000B232A">
      <w:footerReference w:type="default" r:id="rId8"/>
      <w:pgSz w:w="12240" w:h="15840"/>
      <w:pgMar w:top="1440" w:right="1325"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32A" w:rsidRDefault="000B232A" w:rsidP="000B232A">
      <w:r>
        <w:separator/>
      </w:r>
    </w:p>
  </w:endnote>
  <w:endnote w:type="continuationSeparator" w:id="0">
    <w:p w:rsidR="000B232A" w:rsidRDefault="000B232A" w:rsidP="000B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54583"/>
      <w:docPartObj>
        <w:docPartGallery w:val="Page Numbers (Bottom of Page)"/>
        <w:docPartUnique/>
      </w:docPartObj>
    </w:sdtPr>
    <w:sdtEndPr>
      <w:rPr>
        <w:noProof/>
      </w:rPr>
    </w:sdtEndPr>
    <w:sdtContent>
      <w:p w:rsidR="000B232A" w:rsidRDefault="000B232A">
        <w:pPr>
          <w:pStyle w:val="Footer"/>
          <w:jc w:val="center"/>
        </w:pPr>
        <w:r>
          <w:fldChar w:fldCharType="begin"/>
        </w:r>
        <w:r>
          <w:instrText xml:space="preserve"> PAGE   \* MERGEFORMAT </w:instrText>
        </w:r>
        <w:r>
          <w:fldChar w:fldCharType="separate"/>
        </w:r>
        <w:r w:rsidR="00A71D0C">
          <w:rPr>
            <w:noProof/>
          </w:rPr>
          <w:t>4</w:t>
        </w:r>
        <w:r>
          <w:rPr>
            <w:noProof/>
          </w:rPr>
          <w:fldChar w:fldCharType="end"/>
        </w:r>
      </w:p>
    </w:sdtContent>
  </w:sdt>
  <w:p w:rsidR="000B232A" w:rsidRDefault="000B2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32A" w:rsidRDefault="000B232A" w:rsidP="000B232A">
      <w:r>
        <w:separator/>
      </w:r>
    </w:p>
  </w:footnote>
  <w:footnote w:type="continuationSeparator" w:id="0">
    <w:p w:rsidR="000B232A" w:rsidRDefault="000B232A" w:rsidP="000B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65"/>
    <w:rsid w:val="000B232A"/>
    <w:rsid w:val="00353B14"/>
    <w:rsid w:val="00362F10"/>
    <w:rsid w:val="00392EF3"/>
    <w:rsid w:val="00472AAF"/>
    <w:rsid w:val="0065176E"/>
    <w:rsid w:val="00707989"/>
    <w:rsid w:val="007712A8"/>
    <w:rsid w:val="009C2A65"/>
    <w:rsid w:val="00A71D0C"/>
    <w:rsid w:val="00BA3997"/>
    <w:rsid w:val="00C11747"/>
    <w:rsid w:val="00DE4403"/>
    <w:rsid w:val="00E1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AAAC4FC-3532-4CEA-89C2-2DCC2266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65"/>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2A8"/>
    <w:rPr>
      <w:color w:val="0563C1" w:themeColor="hyperlink"/>
      <w:u w:val="single"/>
    </w:rPr>
  </w:style>
  <w:style w:type="paragraph" w:styleId="Header">
    <w:name w:val="header"/>
    <w:basedOn w:val="Normal"/>
    <w:link w:val="HeaderChar"/>
    <w:uiPriority w:val="99"/>
    <w:unhideWhenUsed/>
    <w:rsid w:val="000B232A"/>
    <w:pPr>
      <w:tabs>
        <w:tab w:val="center" w:pos="4680"/>
        <w:tab w:val="right" w:pos="9360"/>
      </w:tabs>
    </w:pPr>
  </w:style>
  <w:style w:type="character" w:customStyle="1" w:styleId="HeaderChar">
    <w:name w:val="Header Char"/>
    <w:basedOn w:val="DefaultParagraphFont"/>
    <w:link w:val="Header"/>
    <w:uiPriority w:val="99"/>
    <w:rsid w:val="000B232A"/>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0B232A"/>
    <w:pPr>
      <w:tabs>
        <w:tab w:val="center" w:pos="4680"/>
        <w:tab w:val="right" w:pos="9360"/>
      </w:tabs>
    </w:pPr>
  </w:style>
  <w:style w:type="character" w:customStyle="1" w:styleId="FooterChar">
    <w:name w:val="Footer Char"/>
    <w:basedOn w:val="DefaultParagraphFont"/>
    <w:link w:val="Footer"/>
    <w:uiPriority w:val="99"/>
    <w:rsid w:val="000B232A"/>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362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F10"/>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ursoft.lv/adrese/valkas-iela-6a-daugavpils-lv-5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13</cp:revision>
  <cp:lastPrinted>2015-12-18T07:48:00Z</cp:lastPrinted>
  <dcterms:created xsi:type="dcterms:W3CDTF">2015-12-18T07:13:00Z</dcterms:created>
  <dcterms:modified xsi:type="dcterms:W3CDTF">2015-12-18T07:48:00Z</dcterms:modified>
</cp:coreProperties>
</file>